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8B" w:rsidRDefault="00394A8B" w:rsidP="00394A8B">
      <w:pPr>
        <w:spacing w:line="140" w:lineRule="atLeast"/>
        <w:jc w:val="center"/>
        <w:rPr>
          <w:rFonts w:ascii="Calibri" w:eastAsia="Arial Unicode MS" w:hAnsi="Calibri" w:cs="Arial"/>
          <w:b/>
          <w:color w:val="000000"/>
          <w:kern w:val="2"/>
          <w:sz w:val="25"/>
          <w:szCs w:val="25"/>
          <w:lang w:eastAsia="hi-IN" w:bidi="hi-IN"/>
        </w:rPr>
      </w:pPr>
      <w:r>
        <w:rPr>
          <w:rFonts w:ascii="Calibri" w:eastAsia="Arial Unicode MS" w:hAnsi="Calibri" w:cs="Arial"/>
          <w:b/>
          <w:color w:val="000000"/>
          <w:kern w:val="2"/>
          <w:sz w:val="25"/>
          <w:szCs w:val="25"/>
          <w:lang w:eastAsia="hi-IN" w:bidi="hi-IN"/>
        </w:rPr>
        <w:t xml:space="preserve">ZARZĄD POWIATU ZDUŃSKOWOLSKIEGO </w:t>
      </w:r>
    </w:p>
    <w:p w:rsidR="00394A8B" w:rsidRDefault="00394A8B" w:rsidP="00394A8B">
      <w:pPr>
        <w:spacing w:line="140" w:lineRule="atLeast"/>
        <w:jc w:val="center"/>
        <w:rPr>
          <w:rFonts w:ascii="Calibri" w:eastAsia="Arial Unicode MS" w:hAnsi="Calibri" w:cs="Arial"/>
          <w:b/>
          <w:color w:val="000000"/>
          <w:kern w:val="2"/>
          <w:sz w:val="25"/>
          <w:szCs w:val="25"/>
          <w:lang w:eastAsia="hi-IN" w:bidi="hi-IN"/>
        </w:rPr>
      </w:pPr>
      <w:r>
        <w:rPr>
          <w:rFonts w:ascii="Calibri" w:eastAsia="Arial Unicode MS" w:hAnsi="Calibri" w:cs="Arial"/>
          <w:b/>
          <w:color w:val="000000"/>
          <w:kern w:val="2"/>
          <w:sz w:val="25"/>
          <w:szCs w:val="25"/>
          <w:lang w:eastAsia="hi-IN" w:bidi="hi-IN"/>
        </w:rPr>
        <w:t>Ul. ZŁOTNICKIEGO 25, 98-220 ZDUŃSKA WOLA</w:t>
      </w:r>
    </w:p>
    <w:p w:rsidR="00394A8B" w:rsidRDefault="00394A8B" w:rsidP="00394A8B">
      <w:pPr>
        <w:spacing w:line="140" w:lineRule="atLeast"/>
        <w:jc w:val="center"/>
        <w:rPr>
          <w:rFonts w:ascii="Calibri" w:eastAsia="Arial Unicode MS" w:hAnsi="Calibri" w:cs="Arial"/>
          <w:b/>
          <w:color w:val="000000"/>
          <w:kern w:val="2"/>
          <w:sz w:val="25"/>
          <w:szCs w:val="25"/>
          <w:lang w:eastAsia="hi-IN" w:bidi="hi-IN"/>
        </w:rPr>
      </w:pPr>
      <w:r>
        <w:rPr>
          <w:rFonts w:ascii="Calibri" w:eastAsia="Arial Unicode MS" w:hAnsi="Calibri" w:cs="Arial"/>
          <w:b/>
          <w:color w:val="000000"/>
          <w:kern w:val="2"/>
          <w:sz w:val="25"/>
          <w:szCs w:val="25"/>
          <w:lang w:eastAsia="hi-IN" w:bidi="hi-IN"/>
        </w:rPr>
        <w:t>przypomina o możliwości składania wniosków</w:t>
      </w:r>
    </w:p>
    <w:p w:rsidR="00394A8B" w:rsidRDefault="00394A8B" w:rsidP="00394A8B">
      <w:pPr>
        <w:spacing w:line="140" w:lineRule="atLeast"/>
        <w:jc w:val="center"/>
        <w:rPr>
          <w:rFonts w:ascii="Calibri" w:eastAsia="Arial Unicode MS" w:hAnsi="Calibri" w:cs="Arial"/>
          <w:color w:val="000000"/>
          <w:kern w:val="2"/>
          <w:sz w:val="25"/>
          <w:szCs w:val="25"/>
          <w:lang w:eastAsia="hi-IN" w:bidi="hi-IN"/>
        </w:rPr>
      </w:pPr>
    </w:p>
    <w:p w:rsidR="00394A8B" w:rsidRDefault="00394A8B" w:rsidP="00394A8B">
      <w:pPr>
        <w:spacing w:line="140" w:lineRule="atLeast"/>
        <w:jc w:val="center"/>
        <w:rPr>
          <w:rFonts w:ascii="Calibri" w:hAnsi="Calibri" w:cs="Arial"/>
          <w:b/>
          <w:sz w:val="25"/>
          <w:szCs w:val="25"/>
        </w:rPr>
      </w:pPr>
      <w:r>
        <w:rPr>
          <w:rFonts w:ascii="Calibri" w:hAnsi="Calibri" w:cs="Arial"/>
          <w:b/>
          <w:sz w:val="25"/>
          <w:szCs w:val="25"/>
        </w:rPr>
        <w:t>o udzielenie dotacji na wykonanie prac konserwatorskich, restauratorskich lub robót budowlanych przy zabytkach wpisanych do rejestru zabytków znajdujących się na obszarze powiatu zduńskowolskiego w 2025 roku</w:t>
      </w:r>
    </w:p>
    <w:p w:rsidR="00394A8B" w:rsidRDefault="00394A8B" w:rsidP="00394A8B">
      <w:pPr>
        <w:spacing w:line="140" w:lineRule="atLeast"/>
        <w:jc w:val="center"/>
        <w:rPr>
          <w:rFonts w:ascii="Calibri" w:hAnsi="Calibri" w:cs="Arial"/>
          <w:b/>
          <w:sz w:val="25"/>
          <w:szCs w:val="25"/>
        </w:rPr>
      </w:pPr>
    </w:p>
    <w:p w:rsidR="00394A8B" w:rsidRDefault="00394A8B" w:rsidP="00394A8B">
      <w:pPr>
        <w:numPr>
          <w:ilvl w:val="0"/>
          <w:numId w:val="1"/>
        </w:numPr>
        <w:spacing w:line="140" w:lineRule="atLeast"/>
        <w:ind w:left="0" w:firstLine="0"/>
        <w:rPr>
          <w:rFonts w:ascii="Calibri" w:hAnsi="Calibri"/>
          <w:sz w:val="26"/>
          <w:szCs w:val="26"/>
        </w:rPr>
      </w:pPr>
      <w:r>
        <w:rPr>
          <w:rFonts w:ascii="Calibri" w:hAnsi="Calibri"/>
          <w:b/>
          <w:sz w:val="26"/>
          <w:szCs w:val="26"/>
        </w:rPr>
        <w:t>Podmioty uprawnione do składania wniosków oraz rodzaj zadania:</w:t>
      </w:r>
    </w:p>
    <w:p w:rsidR="00394A8B" w:rsidRDefault="00394A8B" w:rsidP="00394A8B">
      <w:pPr>
        <w:suppressAutoHyphens w:val="0"/>
        <w:autoSpaceDE w:val="0"/>
        <w:autoSpaceDN w:val="0"/>
        <w:adjustRightInd w:val="0"/>
        <w:jc w:val="both"/>
        <w:rPr>
          <w:rFonts w:ascii="Calibri" w:hAnsi="Calibri"/>
          <w:sz w:val="26"/>
          <w:szCs w:val="26"/>
        </w:rPr>
      </w:pPr>
    </w:p>
    <w:p w:rsidR="00394A8B" w:rsidRDefault="00394A8B" w:rsidP="00394A8B">
      <w:pPr>
        <w:numPr>
          <w:ilvl w:val="0"/>
          <w:numId w:val="2"/>
        </w:numPr>
        <w:suppressAutoHyphens w:val="0"/>
        <w:autoSpaceDE w:val="0"/>
        <w:autoSpaceDN w:val="0"/>
        <w:adjustRightInd w:val="0"/>
        <w:ind w:left="284"/>
        <w:jc w:val="both"/>
        <w:rPr>
          <w:rFonts w:ascii="Calibri" w:hAnsi="Calibri" w:cs="TimesNewRomanPSMT"/>
          <w:sz w:val="26"/>
          <w:szCs w:val="26"/>
          <w:lang w:eastAsia="pl-PL"/>
        </w:rPr>
      </w:pPr>
      <w:r>
        <w:rPr>
          <w:rFonts w:ascii="Calibri" w:hAnsi="Calibri" w:cs="TimesNewRomanPSMT"/>
          <w:sz w:val="26"/>
          <w:szCs w:val="26"/>
          <w:lang w:eastAsia="pl-PL"/>
        </w:rPr>
        <w:t>Z budżetu Powiatu Zduńskowolskiego, zwanego dalej Powiatem, mogą być udzielane dotacje celowe na dofinansowanie prac konserwatorskich, restauratorskich lub robót budowlanych przy zabytku wpisanym do rejestru, znajdujących się na obszarze powiatu zduńskowolskiego.</w:t>
      </w:r>
    </w:p>
    <w:p w:rsidR="00394A8B" w:rsidRDefault="00394A8B" w:rsidP="00394A8B">
      <w:pPr>
        <w:suppressAutoHyphens w:val="0"/>
        <w:autoSpaceDE w:val="0"/>
        <w:autoSpaceDN w:val="0"/>
        <w:adjustRightInd w:val="0"/>
        <w:ind w:left="284"/>
        <w:jc w:val="both"/>
        <w:rPr>
          <w:rFonts w:ascii="Calibri" w:hAnsi="Calibri" w:cs="TimesNewRomanPSMT"/>
          <w:sz w:val="26"/>
          <w:szCs w:val="26"/>
          <w:lang w:eastAsia="pl-PL"/>
        </w:rPr>
      </w:pPr>
    </w:p>
    <w:p w:rsidR="00394A8B" w:rsidRDefault="00394A8B" w:rsidP="00394A8B">
      <w:pPr>
        <w:numPr>
          <w:ilvl w:val="0"/>
          <w:numId w:val="2"/>
        </w:numPr>
        <w:suppressAutoHyphens w:val="0"/>
        <w:autoSpaceDE w:val="0"/>
        <w:autoSpaceDN w:val="0"/>
        <w:adjustRightInd w:val="0"/>
        <w:ind w:left="284" w:hanging="284"/>
        <w:jc w:val="both"/>
        <w:rPr>
          <w:rFonts w:ascii="Calibri" w:hAnsi="Calibri" w:cs="TimesNewRomanPSMT"/>
          <w:sz w:val="26"/>
          <w:szCs w:val="26"/>
          <w:lang w:eastAsia="pl-PL"/>
        </w:rPr>
      </w:pPr>
      <w:r>
        <w:rPr>
          <w:rFonts w:ascii="Calibri" w:hAnsi="Calibri" w:cs="TimesNewRomanPSMT"/>
          <w:sz w:val="26"/>
          <w:szCs w:val="26"/>
          <w:lang w:eastAsia="pl-PL"/>
        </w:rPr>
        <w:t xml:space="preserve">Dotacja </w:t>
      </w:r>
      <w:r>
        <w:rPr>
          <w:rFonts w:ascii="Calibri" w:hAnsi="Calibri" w:cs="Times#20New#20Roman"/>
          <w:sz w:val="26"/>
          <w:szCs w:val="26"/>
          <w:lang w:eastAsia="pl-PL"/>
        </w:rPr>
        <w:t xml:space="preserve">może być </w:t>
      </w:r>
      <w:r>
        <w:rPr>
          <w:rFonts w:ascii="Calibri" w:hAnsi="Calibri" w:cs="TimesNewRomanPSMT"/>
          <w:sz w:val="26"/>
          <w:szCs w:val="26"/>
          <w:lang w:eastAsia="pl-PL"/>
        </w:rPr>
        <w:t xml:space="preserve">udzielona </w:t>
      </w:r>
      <w:r>
        <w:rPr>
          <w:rFonts w:ascii="Calibri" w:hAnsi="Calibri" w:cs="Times#20New#20Roman"/>
          <w:sz w:val="26"/>
          <w:szCs w:val="26"/>
          <w:lang w:eastAsia="pl-PL"/>
        </w:rPr>
        <w:t xml:space="preserve">wyłącznie </w:t>
      </w:r>
      <w:r>
        <w:rPr>
          <w:rFonts w:ascii="Calibri" w:hAnsi="Calibri" w:cs="TimesNewRomanPSMT"/>
          <w:sz w:val="26"/>
          <w:szCs w:val="26"/>
          <w:lang w:eastAsia="pl-PL"/>
        </w:rPr>
        <w:t xml:space="preserve">podmiotom, </w:t>
      </w:r>
      <w:r>
        <w:rPr>
          <w:rFonts w:ascii="Calibri" w:hAnsi="Calibri" w:cs="Times#20New#20Roman"/>
          <w:sz w:val="26"/>
          <w:szCs w:val="26"/>
          <w:lang w:eastAsia="pl-PL"/>
        </w:rPr>
        <w:t xml:space="preserve">które posiadają tytuł </w:t>
      </w:r>
      <w:r>
        <w:rPr>
          <w:rFonts w:ascii="Calibri" w:hAnsi="Calibri" w:cs="TimesNewRomanPSMT"/>
          <w:sz w:val="26"/>
          <w:szCs w:val="26"/>
          <w:lang w:eastAsia="pl-PL"/>
        </w:rPr>
        <w:t>prawny do zabytku, wyni</w:t>
      </w:r>
      <w:r>
        <w:rPr>
          <w:rFonts w:ascii="Calibri" w:hAnsi="Calibri" w:cs="Times#20New#20Roman"/>
          <w:sz w:val="26"/>
          <w:szCs w:val="26"/>
          <w:lang w:eastAsia="pl-PL"/>
        </w:rPr>
        <w:t xml:space="preserve">kający </w:t>
      </w:r>
      <w:r>
        <w:rPr>
          <w:rFonts w:ascii="Calibri" w:hAnsi="Calibri" w:cs="TimesNewRomanPSMT"/>
          <w:sz w:val="26"/>
          <w:szCs w:val="26"/>
          <w:lang w:eastAsia="pl-PL"/>
        </w:rPr>
        <w:t xml:space="preserve">z prawa </w:t>
      </w:r>
      <w:r>
        <w:rPr>
          <w:rFonts w:ascii="Calibri" w:hAnsi="Calibri" w:cs="Times#20New#20Roman"/>
          <w:sz w:val="26"/>
          <w:szCs w:val="26"/>
          <w:lang w:eastAsia="pl-PL"/>
        </w:rPr>
        <w:t xml:space="preserve">własności, użytkowania </w:t>
      </w:r>
      <w:r>
        <w:rPr>
          <w:rFonts w:ascii="Calibri" w:hAnsi="Calibri" w:cs="TimesNewRomanPSMT"/>
          <w:sz w:val="26"/>
          <w:szCs w:val="26"/>
          <w:lang w:eastAsia="pl-PL"/>
        </w:rPr>
        <w:t xml:space="preserve">wieczystego, </w:t>
      </w:r>
      <w:r>
        <w:rPr>
          <w:rFonts w:ascii="Calibri" w:hAnsi="Calibri" w:cs="Times#20New#20Roman"/>
          <w:sz w:val="26"/>
          <w:szCs w:val="26"/>
          <w:lang w:eastAsia="pl-PL"/>
        </w:rPr>
        <w:t xml:space="preserve">trwałego zarządu, </w:t>
      </w:r>
      <w:r>
        <w:rPr>
          <w:rFonts w:ascii="Calibri" w:hAnsi="Calibri" w:cs="TimesNewRomanPSMT"/>
          <w:sz w:val="26"/>
          <w:szCs w:val="26"/>
          <w:lang w:eastAsia="pl-PL"/>
        </w:rPr>
        <w:t>ograniczonego prawa rzeczowego lub</w:t>
      </w:r>
      <w:r>
        <w:rPr>
          <w:rFonts w:ascii="Calibri" w:hAnsi="Calibri" w:cs="Times#20New#20Roman"/>
          <w:sz w:val="26"/>
          <w:szCs w:val="26"/>
          <w:lang w:eastAsia="pl-PL"/>
        </w:rPr>
        <w:t xml:space="preserve"> </w:t>
      </w:r>
      <w:r>
        <w:rPr>
          <w:rFonts w:ascii="Calibri" w:hAnsi="Calibri" w:cs="TimesNewRomanPSMT"/>
          <w:sz w:val="26"/>
          <w:szCs w:val="26"/>
          <w:lang w:eastAsia="pl-PL"/>
        </w:rPr>
        <w:t xml:space="preserve">stosunku </w:t>
      </w:r>
      <w:r>
        <w:rPr>
          <w:rFonts w:ascii="Calibri" w:hAnsi="Calibri" w:cs="Times#20New#20Roman"/>
          <w:sz w:val="26"/>
          <w:szCs w:val="26"/>
          <w:lang w:eastAsia="pl-PL"/>
        </w:rPr>
        <w:t>zobowiązaniowego.</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p>
    <w:p w:rsidR="00394A8B" w:rsidRDefault="00394A8B" w:rsidP="00394A8B">
      <w:pPr>
        <w:numPr>
          <w:ilvl w:val="0"/>
          <w:numId w:val="2"/>
        </w:numPr>
        <w:suppressAutoHyphens w:val="0"/>
        <w:autoSpaceDE w:val="0"/>
        <w:autoSpaceDN w:val="0"/>
        <w:adjustRightInd w:val="0"/>
        <w:ind w:left="284" w:hanging="284"/>
        <w:jc w:val="both"/>
        <w:rPr>
          <w:rFonts w:ascii="Calibri" w:hAnsi="Calibri" w:cs="TimesNewRomanPSMT"/>
          <w:sz w:val="26"/>
          <w:szCs w:val="26"/>
          <w:lang w:eastAsia="pl-PL"/>
        </w:rPr>
      </w:pPr>
      <w:r>
        <w:rPr>
          <w:rFonts w:ascii="Calibri" w:hAnsi="Calibri" w:cs="TimesNewRomanPSMT"/>
          <w:sz w:val="26"/>
          <w:szCs w:val="26"/>
          <w:lang w:eastAsia="pl-PL"/>
        </w:rPr>
        <w:t xml:space="preserve">Dotacja na wykonanie prac konserwatorskich, restauratorskich lub </w:t>
      </w:r>
      <w:r>
        <w:rPr>
          <w:rFonts w:ascii="Calibri" w:hAnsi="Calibri" w:cs="Times#20New#20Roman"/>
          <w:sz w:val="26"/>
          <w:szCs w:val="26"/>
          <w:lang w:eastAsia="pl-PL"/>
        </w:rPr>
        <w:t xml:space="preserve">robót </w:t>
      </w:r>
      <w:r>
        <w:rPr>
          <w:rFonts w:ascii="Calibri" w:hAnsi="Calibri" w:cs="TimesNewRomanPSMT"/>
          <w:sz w:val="26"/>
          <w:szCs w:val="26"/>
          <w:lang w:eastAsia="pl-PL"/>
        </w:rPr>
        <w:t xml:space="preserve">budowlanych przy zabytku </w:t>
      </w:r>
      <w:r>
        <w:rPr>
          <w:rFonts w:ascii="Calibri" w:hAnsi="Calibri" w:cs="Times#20New#20Roman"/>
          <w:sz w:val="26"/>
          <w:szCs w:val="26"/>
          <w:lang w:eastAsia="pl-PL"/>
        </w:rPr>
        <w:t>może finansować</w:t>
      </w:r>
      <w:r>
        <w:rPr>
          <w:rFonts w:ascii="Calibri" w:hAnsi="Calibri" w:cs="TimesNewRomanPSMT"/>
          <w:sz w:val="26"/>
          <w:szCs w:val="26"/>
          <w:lang w:eastAsia="pl-PL"/>
        </w:rPr>
        <w:t xml:space="preserve"> nakłady konieczne na:</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 </w:t>
      </w:r>
      <w:r>
        <w:rPr>
          <w:rFonts w:ascii="Calibri" w:hAnsi="Calibri" w:cs="Times#20New#20Roman"/>
          <w:sz w:val="26"/>
          <w:szCs w:val="26"/>
          <w:lang w:eastAsia="pl-PL"/>
        </w:rPr>
        <w:t xml:space="preserve">sporządzenie </w:t>
      </w:r>
      <w:r>
        <w:rPr>
          <w:rFonts w:ascii="Calibri" w:hAnsi="Calibri" w:cs="TimesNewRomanPSMT"/>
          <w:sz w:val="26"/>
          <w:szCs w:val="26"/>
          <w:lang w:eastAsia="pl-PL"/>
        </w:rPr>
        <w:t>ekspertyz technicznych i konserwatorskich;</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2) przeprowadzenie </w:t>
      </w:r>
      <w:r>
        <w:rPr>
          <w:rFonts w:ascii="Calibri" w:hAnsi="Calibri" w:cs="Times#20New#20Roman"/>
          <w:sz w:val="26"/>
          <w:szCs w:val="26"/>
          <w:lang w:eastAsia="pl-PL"/>
        </w:rPr>
        <w:t xml:space="preserve">badań </w:t>
      </w:r>
      <w:r>
        <w:rPr>
          <w:rFonts w:ascii="Calibri" w:hAnsi="Calibri" w:cs="TimesNewRomanPSMT"/>
          <w:sz w:val="26"/>
          <w:szCs w:val="26"/>
          <w:lang w:eastAsia="pl-PL"/>
        </w:rPr>
        <w:t>konserwatorskich lub architektonicznych;</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3) wykonanie dokumentacji konserwatorskiej;</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4) opracowanie programu prac konserwatorskich i restauratorskich;</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5) wykonanie projektu budowlanego zgodnie z przepisami prawa budowlanego;</w:t>
      </w:r>
    </w:p>
    <w:p w:rsidR="00394A8B" w:rsidRDefault="00394A8B" w:rsidP="00394A8B">
      <w:pPr>
        <w:suppressAutoHyphens w:val="0"/>
        <w:autoSpaceDE w:val="0"/>
        <w:autoSpaceDN w:val="0"/>
        <w:adjustRightInd w:val="0"/>
        <w:jc w:val="both"/>
        <w:rPr>
          <w:rFonts w:ascii="Calibri" w:hAnsi="Calibri" w:cs="Times#20New#20Roman"/>
          <w:sz w:val="26"/>
          <w:szCs w:val="26"/>
          <w:lang w:eastAsia="pl-PL"/>
        </w:rPr>
      </w:pPr>
      <w:r>
        <w:rPr>
          <w:rFonts w:ascii="Calibri" w:hAnsi="Calibri" w:cs="TimesNewRomanPSMT"/>
          <w:sz w:val="26"/>
          <w:szCs w:val="26"/>
          <w:lang w:eastAsia="pl-PL"/>
        </w:rPr>
        <w:t xml:space="preserve">6) </w:t>
      </w:r>
      <w:r>
        <w:rPr>
          <w:rFonts w:ascii="Calibri" w:hAnsi="Calibri" w:cs="Times#20New#20Roman"/>
          <w:sz w:val="26"/>
          <w:szCs w:val="26"/>
          <w:lang w:eastAsia="pl-PL"/>
        </w:rPr>
        <w:t xml:space="preserve">sporządzenie </w:t>
      </w:r>
      <w:r>
        <w:rPr>
          <w:rFonts w:ascii="Calibri" w:hAnsi="Calibri" w:cs="TimesNewRomanPSMT"/>
          <w:sz w:val="26"/>
          <w:szCs w:val="26"/>
          <w:lang w:eastAsia="pl-PL"/>
        </w:rPr>
        <w:t xml:space="preserve">projektu odtworzenia kompozycji </w:t>
      </w:r>
      <w:r>
        <w:rPr>
          <w:rFonts w:ascii="Calibri" w:hAnsi="Calibri" w:cs="Times#20New#20Roman"/>
          <w:sz w:val="26"/>
          <w:szCs w:val="26"/>
          <w:lang w:eastAsia="pl-PL"/>
        </w:rPr>
        <w:t>wnętrz;</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7) zabezpieczenie, zachowanie i utrwalenie substancji zabytku;</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8) stabiliza</w:t>
      </w:r>
      <w:r>
        <w:rPr>
          <w:rFonts w:ascii="Calibri" w:hAnsi="Calibri" w:cs="Times#20New#20Roman"/>
          <w:sz w:val="26"/>
          <w:szCs w:val="26"/>
          <w:lang w:eastAsia="pl-PL"/>
        </w:rPr>
        <w:t xml:space="preserve">cję konstrukcyjną części składowych </w:t>
      </w:r>
      <w:r>
        <w:rPr>
          <w:rFonts w:ascii="Calibri" w:hAnsi="Calibri" w:cs="TimesNewRomanPSMT"/>
          <w:sz w:val="26"/>
          <w:szCs w:val="26"/>
          <w:lang w:eastAsia="pl-PL"/>
        </w:rPr>
        <w:t xml:space="preserve">zabytku lub ich odtworzenie                         w zakresie </w:t>
      </w:r>
      <w:r>
        <w:rPr>
          <w:rFonts w:ascii="Calibri" w:hAnsi="Calibri" w:cs="Times#20New#20Roman"/>
          <w:sz w:val="26"/>
          <w:szCs w:val="26"/>
          <w:lang w:eastAsia="pl-PL"/>
        </w:rPr>
        <w:t xml:space="preserve">niezbędnym </w:t>
      </w:r>
      <w:r>
        <w:rPr>
          <w:rFonts w:ascii="Calibri" w:hAnsi="Calibri" w:cs="TimesNewRomanPSMT"/>
          <w:sz w:val="26"/>
          <w:szCs w:val="26"/>
          <w:lang w:eastAsia="pl-PL"/>
        </w:rPr>
        <w:t>dla zachowania tego zabytku;</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9) odnowienie lub </w:t>
      </w:r>
      <w:r>
        <w:rPr>
          <w:rFonts w:ascii="Calibri" w:hAnsi="Calibri" w:cs="Times#20New#20Roman"/>
          <w:sz w:val="26"/>
          <w:szCs w:val="26"/>
          <w:lang w:eastAsia="pl-PL"/>
        </w:rPr>
        <w:t xml:space="preserve">uzupełnienie tynków </w:t>
      </w:r>
      <w:r>
        <w:rPr>
          <w:rFonts w:ascii="Calibri" w:hAnsi="Calibri" w:cs="TimesNewRomanPSMT"/>
          <w:sz w:val="26"/>
          <w:szCs w:val="26"/>
          <w:lang w:eastAsia="pl-PL"/>
        </w:rPr>
        <w:t xml:space="preserve">i </w:t>
      </w:r>
      <w:r>
        <w:rPr>
          <w:rFonts w:ascii="Calibri" w:hAnsi="Calibri" w:cs="Times#20New#20Roman"/>
          <w:sz w:val="26"/>
          <w:szCs w:val="26"/>
          <w:lang w:eastAsia="pl-PL"/>
        </w:rPr>
        <w:t xml:space="preserve">okładzin </w:t>
      </w:r>
      <w:r>
        <w:rPr>
          <w:rFonts w:ascii="Calibri" w:hAnsi="Calibri" w:cs="TimesNewRomanPSMT"/>
          <w:sz w:val="26"/>
          <w:szCs w:val="26"/>
          <w:lang w:eastAsia="pl-PL"/>
        </w:rPr>
        <w:t xml:space="preserve">architektonicznych albo ich </w:t>
      </w:r>
      <w:r>
        <w:rPr>
          <w:rFonts w:ascii="Calibri" w:hAnsi="Calibri" w:cs="Times#20New#20Roman"/>
          <w:sz w:val="26"/>
          <w:szCs w:val="26"/>
          <w:lang w:eastAsia="pl-PL"/>
        </w:rPr>
        <w:t xml:space="preserve">całkowite </w:t>
      </w:r>
      <w:r>
        <w:rPr>
          <w:rFonts w:ascii="Calibri" w:hAnsi="Calibri" w:cs="TimesNewRomanPSMT"/>
          <w:sz w:val="26"/>
          <w:szCs w:val="26"/>
          <w:lang w:eastAsia="pl-PL"/>
        </w:rPr>
        <w:t xml:space="preserve">odtworzenie, z </w:t>
      </w:r>
      <w:r>
        <w:rPr>
          <w:rFonts w:ascii="Calibri" w:hAnsi="Calibri" w:cs="Times#20New#20Roman"/>
          <w:sz w:val="26"/>
          <w:szCs w:val="26"/>
          <w:lang w:eastAsia="pl-PL"/>
        </w:rPr>
        <w:t xml:space="preserve">uwzględnieniem </w:t>
      </w:r>
      <w:r>
        <w:rPr>
          <w:rFonts w:ascii="Calibri" w:hAnsi="Calibri" w:cs="TimesNewRomanPSMT"/>
          <w:sz w:val="26"/>
          <w:szCs w:val="26"/>
          <w:lang w:eastAsia="pl-PL"/>
        </w:rPr>
        <w:t>charakterystycznej dla tego zabytku kolorystyki;</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10) odtworzenie zniszczonej </w:t>
      </w:r>
      <w:r>
        <w:rPr>
          <w:rFonts w:ascii="Calibri" w:hAnsi="Calibri" w:cs="Times#20New#20Roman"/>
          <w:sz w:val="26"/>
          <w:szCs w:val="26"/>
          <w:lang w:eastAsia="pl-PL"/>
        </w:rPr>
        <w:t xml:space="preserve">przynależności </w:t>
      </w:r>
      <w:r>
        <w:rPr>
          <w:rFonts w:ascii="Calibri" w:hAnsi="Calibri" w:cs="TimesNewRomanPSMT"/>
          <w:sz w:val="26"/>
          <w:szCs w:val="26"/>
          <w:lang w:eastAsia="pl-PL"/>
        </w:rPr>
        <w:t xml:space="preserve">zabytku, </w:t>
      </w:r>
      <w:r>
        <w:rPr>
          <w:rFonts w:ascii="Calibri" w:hAnsi="Calibri" w:cs="Times#20New#20Roman"/>
          <w:sz w:val="26"/>
          <w:szCs w:val="26"/>
          <w:lang w:eastAsia="pl-PL"/>
        </w:rPr>
        <w:t xml:space="preserve">jeżeli </w:t>
      </w:r>
      <w:r>
        <w:rPr>
          <w:rFonts w:ascii="Calibri" w:hAnsi="Calibri" w:cs="TimesNewRomanPSMT"/>
          <w:sz w:val="26"/>
          <w:szCs w:val="26"/>
          <w:lang w:eastAsia="pl-PL"/>
        </w:rPr>
        <w:t xml:space="preserve">odtworzenie to nie przekracza 50% oryginalnej substancji tej </w:t>
      </w:r>
      <w:r>
        <w:rPr>
          <w:rFonts w:ascii="Calibri" w:hAnsi="Calibri" w:cs="Times#20New#20Roman"/>
          <w:sz w:val="26"/>
          <w:szCs w:val="26"/>
          <w:lang w:eastAsia="pl-PL"/>
        </w:rPr>
        <w:t>przynależności;</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11) odnowienie lub </w:t>
      </w:r>
      <w:r>
        <w:rPr>
          <w:rFonts w:ascii="Calibri" w:hAnsi="Calibri" w:cs="Times#20New#20Roman"/>
          <w:sz w:val="26"/>
          <w:szCs w:val="26"/>
          <w:lang w:eastAsia="pl-PL"/>
        </w:rPr>
        <w:t xml:space="preserve">całkowite </w:t>
      </w:r>
      <w:r>
        <w:rPr>
          <w:rFonts w:ascii="Calibri" w:hAnsi="Calibri" w:cs="TimesNewRomanPSMT"/>
          <w:sz w:val="26"/>
          <w:szCs w:val="26"/>
          <w:lang w:eastAsia="pl-PL"/>
        </w:rPr>
        <w:t xml:space="preserve">odtworzenie okien, w tym </w:t>
      </w:r>
      <w:r>
        <w:rPr>
          <w:rFonts w:ascii="Calibri" w:hAnsi="Calibri" w:cs="Times#20New#20Roman"/>
          <w:sz w:val="26"/>
          <w:szCs w:val="26"/>
          <w:lang w:eastAsia="pl-PL"/>
        </w:rPr>
        <w:t xml:space="preserve">ościeżnic </w:t>
      </w:r>
      <w:r>
        <w:rPr>
          <w:rFonts w:ascii="Calibri" w:hAnsi="Calibri" w:cs="TimesNewRomanPSMT"/>
          <w:sz w:val="26"/>
          <w:szCs w:val="26"/>
          <w:lang w:eastAsia="pl-PL"/>
        </w:rPr>
        <w:t xml:space="preserve">i okiennic, </w:t>
      </w:r>
      <w:r>
        <w:rPr>
          <w:rFonts w:ascii="Calibri" w:hAnsi="Calibri" w:cs="Times#20New#20Roman"/>
          <w:sz w:val="26"/>
          <w:szCs w:val="26"/>
          <w:lang w:eastAsia="pl-PL"/>
        </w:rPr>
        <w:t xml:space="preserve">zewnętrznych </w:t>
      </w:r>
      <w:r>
        <w:rPr>
          <w:rFonts w:ascii="Calibri" w:hAnsi="Calibri" w:cs="TimesNewRomanPSMT"/>
          <w:sz w:val="26"/>
          <w:szCs w:val="26"/>
          <w:lang w:eastAsia="pl-PL"/>
        </w:rPr>
        <w:t xml:space="preserve">odrzwi i drzwi, </w:t>
      </w:r>
      <w:r>
        <w:rPr>
          <w:rFonts w:ascii="Calibri" w:hAnsi="Calibri" w:cs="Times#20New#20Roman"/>
          <w:sz w:val="26"/>
          <w:szCs w:val="26"/>
          <w:lang w:eastAsia="pl-PL"/>
        </w:rPr>
        <w:t xml:space="preserve">więźby </w:t>
      </w:r>
      <w:r>
        <w:rPr>
          <w:rFonts w:ascii="Calibri" w:hAnsi="Calibri" w:cs="TimesNewRomanPSMT"/>
          <w:sz w:val="26"/>
          <w:szCs w:val="26"/>
          <w:lang w:eastAsia="pl-PL"/>
        </w:rPr>
        <w:t>dachowej, pokrycia dachowego, rynien i rur spustowych;</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12) </w:t>
      </w:r>
      <w:r>
        <w:rPr>
          <w:rFonts w:ascii="Calibri" w:hAnsi="Calibri" w:cs="Times#20New#20Roman"/>
          <w:sz w:val="26"/>
          <w:szCs w:val="26"/>
          <w:lang w:eastAsia="pl-PL"/>
        </w:rPr>
        <w:t xml:space="preserve">modernizację </w:t>
      </w:r>
      <w:r>
        <w:rPr>
          <w:rFonts w:ascii="Calibri" w:hAnsi="Calibri" w:cs="TimesNewRomanPSMT"/>
          <w:sz w:val="26"/>
          <w:szCs w:val="26"/>
          <w:lang w:eastAsia="pl-PL"/>
        </w:rPr>
        <w:t xml:space="preserve">instalacji elektrycznej w zabytkach drewnianych lub zabytkach, </w:t>
      </w:r>
      <w:r>
        <w:rPr>
          <w:rFonts w:ascii="Calibri" w:hAnsi="Calibri" w:cs="Times#20New#20Roman"/>
          <w:sz w:val="26"/>
          <w:szCs w:val="26"/>
          <w:lang w:eastAsia="pl-PL"/>
        </w:rPr>
        <w:t xml:space="preserve">które posiadają </w:t>
      </w:r>
      <w:r>
        <w:rPr>
          <w:rFonts w:ascii="Calibri" w:hAnsi="Calibri" w:cs="TimesNewRomanPSMT"/>
          <w:sz w:val="26"/>
          <w:szCs w:val="26"/>
          <w:lang w:eastAsia="pl-PL"/>
        </w:rPr>
        <w:t xml:space="preserve">oryginalne, wykonane z drewna </w:t>
      </w:r>
      <w:r>
        <w:rPr>
          <w:rFonts w:ascii="Calibri" w:hAnsi="Calibri" w:cs="Times#20New#20Roman"/>
          <w:sz w:val="26"/>
          <w:szCs w:val="26"/>
          <w:lang w:eastAsia="pl-PL"/>
        </w:rPr>
        <w:t xml:space="preserve">części składowe </w:t>
      </w:r>
      <w:r>
        <w:rPr>
          <w:rFonts w:ascii="Calibri" w:hAnsi="Calibri" w:cs="TimesNewRomanPSMT"/>
          <w:sz w:val="26"/>
          <w:szCs w:val="26"/>
          <w:lang w:eastAsia="pl-PL"/>
        </w:rPr>
        <w:t xml:space="preserve">i </w:t>
      </w:r>
      <w:r>
        <w:rPr>
          <w:rFonts w:ascii="Calibri" w:hAnsi="Calibri" w:cs="Times#20New#20Roman"/>
          <w:sz w:val="26"/>
          <w:szCs w:val="26"/>
          <w:lang w:eastAsia="pl-PL"/>
        </w:rPr>
        <w:t>przynależności;</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13) wykonanie izolacji przeciwwilgociowej;</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14) </w:t>
      </w:r>
      <w:r>
        <w:rPr>
          <w:rFonts w:ascii="Calibri" w:hAnsi="Calibri" w:cs="Times#20New#20Roman"/>
          <w:sz w:val="26"/>
          <w:szCs w:val="26"/>
          <w:lang w:eastAsia="pl-PL"/>
        </w:rPr>
        <w:t xml:space="preserve">uzupełnianie narysów </w:t>
      </w:r>
      <w:r>
        <w:rPr>
          <w:rFonts w:ascii="Calibri" w:hAnsi="Calibri" w:cs="TimesNewRomanPSMT"/>
          <w:sz w:val="26"/>
          <w:szCs w:val="26"/>
          <w:lang w:eastAsia="pl-PL"/>
        </w:rPr>
        <w:t xml:space="preserve">ziemnych </w:t>
      </w:r>
      <w:r>
        <w:rPr>
          <w:rFonts w:ascii="Calibri" w:hAnsi="Calibri" w:cs="Times#20New#20Roman"/>
          <w:sz w:val="26"/>
          <w:szCs w:val="26"/>
          <w:lang w:eastAsia="pl-PL"/>
        </w:rPr>
        <w:t xml:space="preserve">dzieł </w:t>
      </w:r>
      <w:r>
        <w:rPr>
          <w:rFonts w:ascii="Calibri" w:hAnsi="Calibri" w:cs="TimesNewRomanPSMT"/>
          <w:sz w:val="26"/>
          <w:szCs w:val="26"/>
          <w:lang w:eastAsia="pl-PL"/>
        </w:rPr>
        <w:t xml:space="preserve">architektury obronnej oraz </w:t>
      </w:r>
      <w:r>
        <w:rPr>
          <w:rFonts w:ascii="Calibri" w:hAnsi="Calibri" w:cs="Times#20New#20Roman"/>
          <w:sz w:val="26"/>
          <w:szCs w:val="26"/>
          <w:lang w:eastAsia="pl-PL"/>
        </w:rPr>
        <w:t xml:space="preserve">zabytków </w:t>
      </w:r>
      <w:r>
        <w:rPr>
          <w:rFonts w:ascii="Calibri" w:hAnsi="Calibri" w:cs="TimesNewRomanPSMT"/>
          <w:sz w:val="26"/>
          <w:szCs w:val="26"/>
          <w:lang w:eastAsia="pl-PL"/>
        </w:rPr>
        <w:t xml:space="preserve">archeologicznych nieruchomych o </w:t>
      </w:r>
      <w:r>
        <w:rPr>
          <w:rFonts w:ascii="Calibri" w:hAnsi="Calibri" w:cs="Times#20New#20Roman"/>
          <w:sz w:val="26"/>
          <w:szCs w:val="26"/>
          <w:lang w:eastAsia="pl-PL"/>
        </w:rPr>
        <w:t xml:space="preserve">własnych </w:t>
      </w:r>
      <w:r>
        <w:rPr>
          <w:rFonts w:ascii="Calibri" w:hAnsi="Calibri" w:cs="TimesNewRomanPSMT"/>
          <w:sz w:val="26"/>
          <w:szCs w:val="26"/>
          <w:lang w:eastAsia="pl-PL"/>
        </w:rPr>
        <w:t>formach krajobrazowych;</w:t>
      </w:r>
    </w:p>
    <w:p w:rsidR="00394A8B" w:rsidRDefault="00394A8B" w:rsidP="00394A8B">
      <w:pPr>
        <w:suppressAutoHyphens w:val="0"/>
        <w:autoSpaceDE w:val="0"/>
        <w:autoSpaceDN w:val="0"/>
        <w:adjustRightInd w:val="0"/>
        <w:jc w:val="both"/>
        <w:rPr>
          <w:rFonts w:ascii="Calibri" w:hAnsi="Calibri" w:cs="Times#20New#20Roman"/>
          <w:sz w:val="26"/>
          <w:szCs w:val="26"/>
          <w:lang w:eastAsia="pl-PL"/>
        </w:rPr>
      </w:pPr>
      <w:r>
        <w:rPr>
          <w:rFonts w:ascii="Calibri" w:hAnsi="Calibri" w:cs="TimesNewRomanPSMT"/>
          <w:sz w:val="26"/>
          <w:szCs w:val="26"/>
          <w:lang w:eastAsia="pl-PL"/>
        </w:rPr>
        <w:lastRenderedPageBreak/>
        <w:t xml:space="preserve">15) </w:t>
      </w:r>
      <w:r>
        <w:rPr>
          <w:rFonts w:ascii="Calibri" w:hAnsi="Calibri" w:cs="Times#20New#20Roman"/>
          <w:sz w:val="26"/>
          <w:szCs w:val="26"/>
          <w:lang w:eastAsia="pl-PL"/>
        </w:rPr>
        <w:t xml:space="preserve">działania zmierzające </w:t>
      </w:r>
      <w:r>
        <w:rPr>
          <w:rFonts w:ascii="Calibri" w:hAnsi="Calibri" w:cs="TimesNewRomanPSMT"/>
          <w:sz w:val="26"/>
          <w:szCs w:val="26"/>
          <w:lang w:eastAsia="pl-PL"/>
        </w:rPr>
        <w:t xml:space="preserve">do wyeksponowania </w:t>
      </w:r>
      <w:r>
        <w:rPr>
          <w:rFonts w:ascii="Calibri" w:hAnsi="Calibri" w:cs="Times#20New#20Roman"/>
          <w:sz w:val="26"/>
          <w:szCs w:val="26"/>
          <w:lang w:eastAsia="pl-PL"/>
        </w:rPr>
        <w:t xml:space="preserve">istniejących, </w:t>
      </w:r>
      <w:r>
        <w:rPr>
          <w:rFonts w:ascii="Calibri" w:hAnsi="Calibri" w:cs="TimesNewRomanPSMT"/>
          <w:sz w:val="26"/>
          <w:szCs w:val="26"/>
          <w:lang w:eastAsia="pl-PL"/>
        </w:rPr>
        <w:t xml:space="preserve">oryginalnych </w:t>
      </w:r>
      <w:r>
        <w:rPr>
          <w:rFonts w:ascii="Calibri" w:hAnsi="Calibri" w:cs="Times#20New#20Roman"/>
          <w:sz w:val="26"/>
          <w:szCs w:val="26"/>
          <w:lang w:eastAsia="pl-PL"/>
        </w:rPr>
        <w:t xml:space="preserve">elementów </w:t>
      </w:r>
      <w:r>
        <w:rPr>
          <w:rFonts w:ascii="Calibri" w:hAnsi="Calibri" w:cs="TimesNewRomanPSMT"/>
          <w:sz w:val="26"/>
          <w:szCs w:val="26"/>
          <w:lang w:eastAsia="pl-PL"/>
        </w:rPr>
        <w:t xml:space="preserve">zabytkowego </w:t>
      </w:r>
      <w:r>
        <w:rPr>
          <w:rFonts w:ascii="Calibri" w:hAnsi="Calibri" w:cs="Times#20New#20Roman"/>
          <w:sz w:val="26"/>
          <w:szCs w:val="26"/>
          <w:lang w:eastAsia="pl-PL"/>
        </w:rPr>
        <w:t xml:space="preserve">układu </w:t>
      </w:r>
      <w:r>
        <w:rPr>
          <w:rFonts w:ascii="Calibri" w:hAnsi="Calibri" w:cs="TimesNewRomanPSMT"/>
          <w:sz w:val="26"/>
          <w:szCs w:val="26"/>
          <w:lang w:eastAsia="pl-PL"/>
        </w:rPr>
        <w:t>parku lub ogrodu;</w:t>
      </w:r>
    </w:p>
    <w:p w:rsidR="00394A8B" w:rsidRDefault="00394A8B" w:rsidP="00394A8B">
      <w:pPr>
        <w:suppressAutoHyphens w:val="0"/>
        <w:autoSpaceDE w:val="0"/>
        <w:autoSpaceDN w:val="0"/>
        <w:adjustRightInd w:val="0"/>
        <w:jc w:val="both"/>
        <w:rPr>
          <w:rFonts w:ascii="Calibri" w:hAnsi="Calibri" w:cs="TimesNewRomanPSMT"/>
          <w:sz w:val="26"/>
          <w:szCs w:val="26"/>
          <w:lang w:eastAsia="pl-PL"/>
        </w:rPr>
      </w:pPr>
      <w:r>
        <w:rPr>
          <w:rFonts w:ascii="Calibri" w:hAnsi="Calibri" w:cs="TimesNewRomanPSMT"/>
          <w:sz w:val="26"/>
          <w:szCs w:val="26"/>
          <w:lang w:eastAsia="pl-PL"/>
        </w:rPr>
        <w:t xml:space="preserve">16) zakup </w:t>
      </w:r>
      <w:r>
        <w:rPr>
          <w:rFonts w:ascii="Calibri" w:hAnsi="Calibri" w:cs="Times#20New#20Roman"/>
          <w:sz w:val="26"/>
          <w:szCs w:val="26"/>
          <w:lang w:eastAsia="pl-PL"/>
        </w:rPr>
        <w:t xml:space="preserve">materiałów </w:t>
      </w:r>
      <w:r>
        <w:rPr>
          <w:rFonts w:ascii="Calibri" w:hAnsi="Calibri" w:cs="TimesNewRomanPSMT"/>
          <w:sz w:val="26"/>
          <w:szCs w:val="26"/>
          <w:lang w:eastAsia="pl-PL"/>
        </w:rPr>
        <w:t xml:space="preserve">konserwatorskich i budowlanych, </w:t>
      </w:r>
      <w:r>
        <w:rPr>
          <w:rFonts w:ascii="Calibri" w:hAnsi="Calibri" w:cs="Times#20New#20Roman"/>
          <w:sz w:val="26"/>
          <w:szCs w:val="26"/>
          <w:lang w:eastAsia="pl-PL"/>
        </w:rPr>
        <w:t xml:space="preserve">niezbędnych </w:t>
      </w:r>
      <w:r>
        <w:rPr>
          <w:rFonts w:ascii="Calibri" w:hAnsi="Calibri" w:cs="TimesNewRomanPSMT"/>
          <w:sz w:val="26"/>
          <w:szCs w:val="26"/>
          <w:lang w:eastAsia="pl-PL"/>
        </w:rPr>
        <w:t xml:space="preserve">do wykonania prac i </w:t>
      </w:r>
      <w:r>
        <w:rPr>
          <w:rFonts w:ascii="Calibri" w:hAnsi="Calibri" w:cs="Times#20New#20Roman"/>
          <w:sz w:val="26"/>
          <w:szCs w:val="26"/>
          <w:lang w:eastAsia="pl-PL"/>
        </w:rPr>
        <w:t xml:space="preserve">robót </w:t>
      </w:r>
      <w:r>
        <w:rPr>
          <w:rFonts w:ascii="Calibri" w:hAnsi="Calibri" w:cs="TimesNewRomanPSMT"/>
          <w:sz w:val="26"/>
          <w:szCs w:val="26"/>
          <w:lang w:eastAsia="pl-PL"/>
        </w:rPr>
        <w:t xml:space="preserve">przy zabytku wpisanym do rejestru, o </w:t>
      </w:r>
      <w:r>
        <w:rPr>
          <w:rFonts w:ascii="Calibri" w:hAnsi="Calibri" w:cs="Times#20New#20Roman"/>
          <w:sz w:val="26"/>
          <w:szCs w:val="26"/>
          <w:lang w:eastAsia="pl-PL"/>
        </w:rPr>
        <w:t xml:space="preserve">których </w:t>
      </w:r>
      <w:r>
        <w:rPr>
          <w:rFonts w:ascii="Calibri" w:hAnsi="Calibri" w:cs="TimesNewRomanPSMT"/>
          <w:sz w:val="26"/>
          <w:szCs w:val="26"/>
          <w:lang w:eastAsia="pl-PL"/>
        </w:rPr>
        <w:t>mowa w pkt 7-15;</w:t>
      </w:r>
    </w:p>
    <w:p w:rsidR="00394A8B" w:rsidRDefault="00394A8B" w:rsidP="00394A8B">
      <w:pPr>
        <w:spacing w:line="140" w:lineRule="atLeast"/>
        <w:jc w:val="both"/>
        <w:rPr>
          <w:rFonts w:ascii="Calibri" w:hAnsi="Calibri" w:cs="TimesNewRomanPSMT"/>
          <w:sz w:val="26"/>
          <w:szCs w:val="26"/>
          <w:lang w:eastAsia="pl-PL"/>
        </w:rPr>
      </w:pPr>
      <w:r>
        <w:rPr>
          <w:rFonts w:ascii="Calibri" w:hAnsi="Calibri" w:cs="TimesNewRomanPSMT"/>
          <w:sz w:val="26"/>
          <w:szCs w:val="26"/>
          <w:lang w:eastAsia="pl-PL"/>
        </w:rPr>
        <w:t xml:space="preserve">17) zakup i </w:t>
      </w:r>
      <w:r>
        <w:rPr>
          <w:rFonts w:ascii="Calibri" w:hAnsi="Calibri" w:cs="Times#20New#20Roman"/>
          <w:sz w:val="26"/>
          <w:szCs w:val="26"/>
          <w:lang w:eastAsia="pl-PL"/>
        </w:rPr>
        <w:t xml:space="preserve">montaż </w:t>
      </w:r>
      <w:r>
        <w:rPr>
          <w:rFonts w:ascii="Calibri" w:hAnsi="Calibri" w:cs="TimesNewRomanPSMT"/>
          <w:sz w:val="26"/>
          <w:szCs w:val="26"/>
          <w:lang w:eastAsia="pl-PL"/>
        </w:rPr>
        <w:t xml:space="preserve">instalacji </w:t>
      </w:r>
      <w:r>
        <w:rPr>
          <w:rFonts w:ascii="Calibri" w:hAnsi="Calibri" w:cs="Times#20New#20Roman"/>
          <w:sz w:val="26"/>
          <w:szCs w:val="26"/>
          <w:lang w:eastAsia="pl-PL"/>
        </w:rPr>
        <w:t xml:space="preserve">przeciwwłamaniowej </w:t>
      </w:r>
      <w:r>
        <w:rPr>
          <w:rFonts w:ascii="Calibri" w:hAnsi="Calibri" w:cs="TimesNewRomanPSMT"/>
          <w:sz w:val="26"/>
          <w:szCs w:val="26"/>
          <w:lang w:eastAsia="pl-PL"/>
        </w:rPr>
        <w:t xml:space="preserve">oraz </w:t>
      </w:r>
      <w:r>
        <w:rPr>
          <w:rFonts w:ascii="Calibri" w:hAnsi="Calibri" w:cs="Times#20New#20Roman"/>
          <w:sz w:val="26"/>
          <w:szCs w:val="26"/>
          <w:lang w:eastAsia="pl-PL"/>
        </w:rPr>
        <w:t>przeciwpożar</w:t>
      </w:r>
      <w:r>
        <w:rPr>
          <w:rFonts w:ascii="Calibri" w:hAnsi="Calibri" w:cs="TimesNewRomanPSMT"/>
          <w:sz w:val="26"/>
          <w:szCs w:val="26"/>
          <w:lang w:eastAsia="pl-PL"/>
        </w:rPr>
        <w:t>owej                               i odgromowej.</w:t>
      </w:r>
    </w:p>
    <w:p w:rsidR="00394A8B" w:rsidRDefault="00394A8B" w:rsidP="00394A8B">
      <w:pPr>
        <w:spacing w:line="140" w:lineRule="atLeast"/>
        <w:jc w:val="both"/>
        <w:rPr>
          <w:rFonts w:ascii="Calibri" w:hAnsi="Calibri" w:cs="TimesNewRomanPSMT"/>
          <w:sz w:val="26"/>
          <w:szCs w:val="26"/>
          <w:lang w:eastAsia="pl-PL"/>
        </w:rPr>
      </w:pPr>
    </w:p>
    <w:p w:rsidR="00394A8B" w:rsidRDefault="00394A8B" w:rsidP="00394A8B">
      <w:pPr>
        <w:numPr>
          <w:ilvl w:val="0"/>
          <w:numId w:val="1"/>
        </w:numPr>
        <w:spacing w:line="140" w:lineRule="atLeast"/>
        <w:jc w:val="both"/>
        <w:rPr>
          <w:rFonts w:ascii="Calibri" w:hAnsi="Calibri"/>
          <w:b/>
          <w:sz w:val="26"/>
          <w:szCs w:val="26"/>
        </w:rPr>
      </w:pPr>
      <w:r>
        <w:rPr>
          <w:rFonts w:ascii="Calibri" w:hAnsi="Calibri" w:cs="TimesNewRomanPSMT"/>
          <w:b/>
          <w:sz w:val="26"/>
          <w:szCs w:val="26"/>
          <w:lang w:eastAsia="pl-PL"/>
        </w:rPr>
        <w:t>Wysokość środków finansowych oraz zasady przyznawania dotacji.</w:t>
      </w:r>
    </w:p>
    <w:p w:rsidR="00394A8B" w:rsidRDefault="00394A8B" w:rsidP="00394A8B">
      <w:pPr>
        <w:spacing w:line="140" w:lineRule="atLeast"/>
        <w:jc w:val="both"/>
        <w:rPr>
          <w:rFonts w:ascii="Calibri" w:hAnsi="Calibri" w:cs="TimesNewRomanPSMT"/>
          <w:sz w:val="26"/>
          <w:szCs w:val="26"/>
          <w:lang w:eastAsia="pl-PL"/>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cs="TimesNewRomanPSMT"/>
          <w:sz w:val="26"/>
          <w:szCs w:val="26"/>
          <w:lang w:eastAsia="pl-PL"/>
        </w:rPr>
        <w:t xml:space="preserve">Środki finansowe przeznaczone na realizację zadań wyłonionych w konkursie   w 2025 roku stanową kwotę </w:t>
      </w:r>
      <w:r>
        <w:rPr>
          <w:rFonts w:ascii="Calibri" w:hAnsi="Calibri" w:cs="TimesNewRomanPSMT"/>
          <w:b/>
          <w:sz w:val="26"/>
          <w:szCs w:val="26"/>
          <w:lang w:eastAsia="pl-PL"/>
        </w:rPr>
        <w:t>60 000,00 zł.</w:t>
      </w:r>
    </w:p>
    <w:p w:rsidR="00394A8B" w:rsidRDefault="00394A8B" w:rsidP="00394A8B">
      <w:pPr>
        <w:spacing w:line="140" w:lineRule="atLeast"/>
        <w:ind w:left="720"/>
        <w:jc w:val="both"/>
        <w:rPr>
          <w:rFonts w:ascii="Calibri" w:hAnsi="Calibri"/>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 xml:space="preserve">Dotacja celowa może być udzielona na dofinansowanie nakładów koniecznych na wykonanie prac konserwatorskich, restauratorskich lub robót budowlanych przy zabytku, które wnioskodawca zamierza wykonać w roku złożenia wniosku o udzielenie dotacji. Termin wydatkowania dotacji nie może być dłużysz niż do dnia </w:t>
      </w:r>
      <w:r>
        <w:rPr>
          <w:rFonts w:ascii="Calibri" w:hAnsi="Calibri"/>
          <w:b/>
          <w:sz w:val="26"/>
          <w:szCs w:val="26"/>
        </w:rPr>
        <w:t>31 grudnia 2025 roku</w:t>
      </w:r>
      <w:r>
        <w:rPr>
          <w:rFonts w:ascii="Calibri" w:hAnsi="Calibri"/>
          <w:sz w:val="26"/>
          <w:szCs w:val="26"/>
        </w:rPr>
        <w:t>.</w:t>
      </w:r>
    </w:p>
    <w:p w:rsidR="00394A8B" w:rsidRDefault="00394A8B" w:rsidP="00394A8B">
      <w:pPr>
        <w:pStyle w:val="Akapitzlist"/>
        <w:rPr>
          <w:rFonts w:ascii="Calibri" w:hAnsi="Calibri"/>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 xml:space="preserve">Dotacja z budżetu powiatu zduńskowolskiego na wykonanie prac konserwatorskich, restauratorskich lub robót budowlanych perzy jednym i tym samym zabytku może być udzielona </w:t>
      </w:r>
      <w:r>
        <w:rPr>
          <w:rFonts w:ascii="Calibri" w:hAnsi="Calibri"/>
          <w:b/>
          <w:sz w:val="26"/>
          <w:szCs w:val="26"/>
        </w:rPr>
        <w:t>do 50% ogółu nakładów koniecznych</w:t>
      </w:r>
      <w:r>
        <w:rPr>
          <w:rFonts w:ascii="Calibri" w:hAnsi="Calibri"/>
          <w:sz w:val="26"/>
          <w:szCs w:val="26"/>
        </w:rPr>
        <w:t xml:space="preserve"> na wykonanie tych prac.</w:t>
      </w:r>
    </w:p>
    <w:p w:rsidR="00394A8B" w:rsidRDefault="00394A8B" w:rsidP="00394A8B">
      <w:pPr>
        <w:spacing w:line="140" w:lineRule="atLeast"/>
        <w:jc w:val="both"/>
        <w:rPr>
          <w:rFonts w:ascii="Calibri" w:hAnsi="Calibri"/>
          <w:color w:val="FF0000"/>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Decyzję o udzieleniu dotacji podejmuje Rada Powiatu Zduńskowolskiego                    w formie uchwały.</w:t>
      </w:r>
    </w:p>
    <w:p w:rsidR="00394A8B" w:rsidRDefault="00394A8B" w:rsidP="00394A8B">
      <w:pPr>
        <w:pStyle w:val="Akapitzlist"/>
        <w:rPr>
          <w:rFonts w:ascii="Calibri" w:hAnsi="Calibri"/>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O przyznaniu bądź odmowie przyznania dotacji powiadamia się wszystkich wnioskodawców pisemnie.</w:t>
      </w:r>
    </w:p>
    <w:p w:rsidR="00394A8B" w:rsidRDefault="00394A8B" w:rsidP="00394A8B">
      <w:pPr>
        <w:pStyle w:val="Akapitzlist"/>
        <w:rPr>
          <w:rFonts w:ascii="Calibri" w:hAnsi="Calibri"/>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 xml:space="preserve"> Udzielenie, przekazanie oraz rozliczenie dotacji następuje na warunkach                   i w terminach, określonych w umowie zawartej z Powiatem Zduńskowolskim,                a podmiotem wskazanym w uchwale w sprawie przyznania dotacji celowej na prace konserwatorskie, restauratorskie lub roboty budowlane przy zabytku wpisanym do rejestru zabytków, znajdujących się na obszarze powiatu zduńskowolskiego w 2025 roku.</w:t>
      </w:r>
    </w:p>
    <w:p w:rsidR="00394A8B" w:rsidRDefault="00394A8B" w:rsidP="00394A8B">
      <w:pPr>
        <w:pStyle w:val="Akapitzlist"/>
        <w:rPr>
          <w:rFonts w:ascii="Calibri" w:hAnsi="Calibri"/>
          <w:sz w:val="26"/>
          <w:szCs w:val="26"/>
        </w:rPr>
      </w:pPr>
    </w:p>
    <w:p w:rsidR="00394A8B" w:rsidRDefault="00394A8B" w:rsidP="00394A8B">
      <w:pPr>
        <w:numPr>
          <w:ilvl w:val="0"/>
          <w:numId w:val="3"/>
        </w:numPr>
        <w:spacing w:line="140" w:lineRule="atLeast"/>
        <w:jc w:val="both"/>
        <w:rPr>
          <w:rFonts w:ascii="Calibri" w:hAnsi="Calibri"/>
          <w:sz w:val="26"/>
          <w:szCs w:val="26"/>
        </w:rPr>
      </w:pPr>
      <w:r>
        <w:rPr>
          <w:rFonts w:ascii="Calibri" w:hAnsi="Calibri"/>
          <w:sz w:val="26"/>
          <w:szCs w:val="26"/>
        </w:rPr>
        <w:t xml:space="preserve"> Rozstrzygnięcie konkursu podaje się do publicznej wiadomości na stronie internetowej Powiatu Zduńskowolskiego pod adresem </w:t>
      </w:r>
      <w:hyperlink r:id="rId5" w:history="1">
        <w:r>
          <w:rPr>
            <w:rStyle w:val="Hipercze"/>
            <w:rFonts w:ascii="Calibri" w:hAnsi="Calibri"/>
            <w:sz w:val="26"/>
            <w:szCs w:val="26"/>
          </w:rPr>
          <w:t>www.powiatzdunskowolski.pl</w:t>
        </w:r>
      </w:hyperlink>
      <w:r>
        <w:rPr>
          <w:rFonts w:ascii="Calibri" w:hAnsi="Calibri"/>
          <w:sz w:val="26"/>
          <w:szCs w:val="26"/>
        </w:rPr>
        <w:t xml:space="preserve">, w Biuletynie Informacji Publicznej </w:t>
      </w:r>
      <w:hyperlink r:id="rId6" w:history="1">
        <w:r>
          <w:rPr>
            <w:rStyle w:val="Hipercze"/>
            <w:rFonts w:ascii="Calibri" w:hAnsi="Calibri"/>
            <w:sz w:val="26"/>
            <w:szCs w:val="26"/>
          </w:rPr>
          <w:t>www.bip.powiatzdunskowolski.pl</w:t>
        </w:r>
      </w:hyperlink>
      <w:r>
        <w:rPr>
          <w:rFonts w:ascii="Calibri" w:hAnsi="Calibri"/>
          <w:sz w:val="26"/>
          <w:szCs w:val="26"/>
        </w:rPr>
        <w:t xml:space="preserve"> oraz na tablicy ogłoszeń  w siedzibie Starostwa Powiatowego w Zduńskowolskiego.       </w:t>
      </w:r>
    </w:p>
    <w:p w:rsidR="00394A8B" w:rsidRDefault="00394A8B" w:rsidP="00394A8B">
      <w:pPr>
        <w:pStyle w:val="Akapitzlist"/>
        <w:rPr>
          <w:rFonts w:ascii="Calibri" w:hAnsi="Calibri"/>
          <w:sz w:val="26"/>
          <w:szCs w:val="26"/>
        </w:rPr>
      </w:pPr>
    </w:p>
    <w:p w:rsidR="00394A8B" w:rsidRDefault="00394A8B" w:rsidP="00394A8B">
      <w:pPr>
        <w:spacing w:line="140" w:lineRule="atLeast"/>
        <w:ind w:left="720"/>
        <w:jc w:val="both"/>
        <w:rPr>
          <w:rFonts w:ascii="Calibri" w:hAnsi="Calibri"/>
          <w:sz w:val="26"/>
          <w:szCs w:val="26"/>
        </w:rPr>
      </w:pPr>
    </w:p>
    <w:p w:rsidR="00394A8B" w:rsidRDefault="00394A8B" w:rsidP="00394A8B">
      <w:pPr>
        <w:pStyle w:val="Akapitzlist"/>
        <w:rPr>
          <w:rFonts w:ascii="Calibri" w:hAnsi="Calibri"/>
          <w:sz w:val="26"/>
          <w:szCs w:val="26"/>
        </w:rPr>
      </w:pPr>
    </w:p>
    <w:p w:rsidR="00394A8B" w:rsidRDefault="00394A8B" w:rsidP="00394A8B">
      <w:pPr>
        <w:numPr>
          <w:ilvl w:val="0"/>
          <w:numId w:val="1"/>
        </w:numPr>
        <w:spacing w:line="140" w:lineRule="atLeast"/>
        <w:jc w:val="both"/>
        <w:rPr>
          <w:rFonts w:ascii="Calibri" w:hAnsi="Calibri"/>
          <w:b/>
          <w:sz w:val="26"/>
          <w:szCs w:val="26"/>
        </w:rPr>
      </w:pPr>
      <w:r>
        <w:rPr>
          <w:rFonts w:ascii="Calibri" w:hAnsi="Calibri"/>
          <w:b/>
          <w:sz w:val="26"/>
          <w:szCs w:val="26"/>
        </w:rPr>
        <w:lastRenderedPageBreak/>
        <w:t>Zasady składania wniosków:</w:t>
      </w:r>
    </w:p>
    <w:p w:rsidR="00394A8B" w:rsidRDefault="00394A8B" w:rsidP="00394A8B">
      <w:pPr>
        <w:spacing w:line="140" w:lineRule="atLeast"/>
        <w:ind w:left="1080"/>
        <w:jc w:val="both"/>
        <w:rPr>
          <w:rFonts w:ascii="Calibri" w:hAnsi="Calibri"/>
          <w:b/>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Do konkursu mogą przystąpić jedynie uprawnione podmioty, które złożą wniosek na właściwym formularzu z wymaganymi załącznikami.</w:t>
      </w:r>
    </w:p>
    <w:p w:rsidR="00394A8B" w:rsidRDefault="00394A8B" w:rsidP="00394A8B">
      <w:pPr>
        <w:spacing w:line="140" w:lineRule="atLeast"/>
        <w:ind w:left="720"/>
        <w:jc w:val="both"/>
        <w:rPr>
          <w:rFonts w:ascii="Calibri" w:hAnsi="Calibri"/>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Wzór wniosku wraz z Uchwałą określającą</w:t>
      </w:r>
      <w:r>
        <w:t xml:space="preserve"> </w:t>
      </w:r>
      <w:r>
        <w:rPr>
          <w:rFonts w:ascii="Calibri" w:hAnsi="Calibri"/>
          <w:sz w:val="26"/>
          <w:szCs w:val="26"/>
        </w:rPr>
        <w:t xml:space="preserve">zasady udzielania dotacji celowej na prace konserwatorskie, restauratorskie lub roboty budowlane przy zabytku wpisanym do rejestru zabytków, znajdujących się na obszarze powiatu dostępny jest w Biuletynie Informacji Publicznej  Powiatu Zduńskowolskiego </w:t>
      </w:r>
      <w:hyperlink r:id="rId7" w:history="1">
        <w:r>
          <w:rPr>
            <w:rStyle w:val="Hipercze"/>
            <w:rFonts w:ascii="Calibri" w:hAnsi="Calibri"/>
            <w:sz w:val="26"/>
            <w:szCs w:val="26"/>
          </w:rPr>
          <w:t>www.bip.powiatzdunskowolski.pl</w:t>
        </w:r>
      </w:hyperlink>
      <w:r>
        <w:rPr>
          <w:rFonts w:ascii="Calibri" w:hAnsi="Calibri"/>
          <w:sz w:val="26"/>
          <w:szCs w:val="26"/>
        </w:rPr>
        <w:t xml:space="preserve"> (w zakładce: </w:t>
      </w:r>
      <w:r>
        <w:rPr>
          <w:rFonts w:ascii="Calibri" w:hAnsi="Calibri"/>
          <w:i/>
          <w:sz w:val="26"/>
          <w:szCs w:val="26"/>
        </w:rPr>
        <w:t>Zabytki</w:t>
      </w:r>
      <w:r>
        <w:rPr>
          <w:rFonts w:ascii="Calibri" w:hAnsi="Calibri"/>
          <w:sz w:val="26"/>
          <w:szCs w:val="26"/>
        </w:rPr>
        <w:t>).</w:t>
      </w:r>
    </w:p>
    <w:p w:rsidR="00394A8B" w:rsidRDefault="00394A8B" w:rsidP="00394A8B">
      <w:pPr>
        <w:pStyle w:val="Akapitzlist"/>
        <w:rPr>
          <w:rFonts w:ascii="Calibri" w:hAnsi="Calibri"/>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Do wniosku należy załączyć następujące dokumenty:</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dokument potwierdzający wpis obiektu do rejestru zabytków;</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aktualny dokument potwierdzający tytuł władania zabytkiem;</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zgoda właściciela (współwłaścicieli) zabytku na przeprowadzenie prac lub robót, w przypadku gdy to nie oni są wnioskodawcami;</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kosztorys inwestorski wraz z harmonogramem planowanych prac lub robót ze wskazaniem źródeł ich finansowania;</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aktualna decyzja właściwych służb konserwatorskich zezwalająca na przeprowadzenie prac lub robót będących przedmiotem wniosku o dotację;</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projekt i aktualne pozwolenie na budowę, gdy wniosek dotyczy prac lub robót przy zabytku nieruchomym, będących przedmiotem wniosku;</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program prac konserwatorskich;</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pełnomocnictwo, jeżeli wnioskodawca reprezentowany jest przez przedstawiciela;</w:t>
      </w:r>
    </w:p>
    <w:p w:rsidR="00394A8B" w:rsidRDefault="00394A8B" w:rsidP="00394A8B">
      <w:pPr>
        <w:numPr>
          <w:ilvl w:val="0"/>
          <w:numId w:val="5"/>
        </w:numPr>
        <w:spacing w:line="140" w:lineRule="atLeast"/>
        <w:jc w:val="both"/>
        <w:rPr>
          <w:rFonts w:ascii="Calibri" w:hAnsi="Calibri"/>
          <w:sz w:val="26"/>
          <w:szCs w:val="26"/>
        </w:rPr>
      </w:pPr>
      <w:r>
        <w:rPr>
          <w:rFonts w:ascii="Calibri" w:hAnsi="Calibri"/>
          <w:sz w:val="26"/>
          <w:szCs w:val="26"/>
        </w:rPr>
        <w:t>dokumentacja fotograficzna stanu zachowania zabytku.</w:t>
      </w:r>
    </w:p>
    <w:p w:rsidR="00394A8B" w:rsidRDefault="00394A8B" w:rsidP="00394A8B">
      <w:pPr>
        <w:numPr>
          <w:ilvl w:val="0"/>
          <w:numId w:val="4"/>
        </w:numPr>
        <w:spacing w:line="140" w:lineRule="atLeast"/>
        <w:jc w:val="both"/>
        <w:rPr>
          <w:rFonts w:ascii="Calibri" w:hAnsi="Calibri"/>
          <w:sz w:val="26"/>
          <w:szCs w:val="26"/>
        </w:rPr>
      </w:pPr>
      <w:r>
        <w:rPr>
          <w:rFonts w:ascii="Calibri" w:hAnsi="Calibri"/>
          <w:color w:val="000000"/>
          <w:sz w:val="26"/>
          <w:szCs w:val="26"/>
        </w:rPr>
        <w:t xml:space="preserve">Podmiot prowadzący działalność gospodarczą ubiegający się o pomoc de minimis ma obowiązek przedłożyć: </w:t>
      </w:r>
    </w:p>
    <w:p w:rsidR="00394A8B" w:rsidRDefault="00394A8B" w:rsidP="00394A8B">
      <w:pPr>
        <w:numPr>
          <w:ilvl w:val="0"/>
          <w:numId w:val="6"/>
        </w:numPr>
        <w:spacing w:line="140" w:lineRule="atLeast"/>
        <w:jc w:val="both"/>
        <w:rPr>
          <w:rFonts w:ascii="Calibri" w:hAnsi="Calibri"/>
          <w:sz w:val="26"/>
          <w:szCs w:val="26"/>
        </w:rPr>
      </w:pPr>
      <w:r>
        <w:rPr>
          <w:rFonts w:ascii="Calibri" w:hAnsi="Calibri"/>
          <w:color w:val="000000"/>
          <w:sz w:val="26"/>
          <w:szCs w:val="26"/>
        </w:rPr>
        <w:t xml:space="preserve">wszystkie zaświadczenia o pomocy de minimis, jakie otrzymał w roku,                       w którym ubiega się o pomoc oraz w ciągu 2 poprzedzających go lat albo oświadczenia o wielkości pomocy de minimis otrzymanej w tym okresie, albo oświadczenia o nieotrzymaniu takiej pomocy w tym okresie; </w:t>
      </w:r>
    </w:p>
    <w:p w:rsidR="00394A8B" w:rsidRDefault="00394A8B" w:rsidP="00394A8B">
      <w:pPr>
        <w:numPr>
          <w:ilvl w:val="0"/>
          <w:numId w:val="6"/>
        </w:numPr>
        <w:spacing w:line="140" w:lineRule="atLeast"/>
        <w:jc w:val="both"/>
        <w:rPr>
          <w:rFonts w:ascii="Calibri" w:hAnsi="Calibri"/>
          <w:sz w:val="26"/>
          <w:szCs w:val="26"/>
        </w:rPr>
      </w:pPr>
      <w:r>
        <w:rPr>
          <w:rFonts w:ascii="Calibri" w:hAnsi="Calibri"/>
          <w:color w:val="000000"/>
          <w:sz w:val="26"/>
          <w:szCs w:val="26"/>
        </w:rPr>
        <w:t>informacje niezbędne do udzielania pomocy de minimis dotyczące                              w szczególności wnioskodawcy i prowadzonej przez niego działalności, których zakres określa rozporządzenie Rady Ministrów z dnia 29 marca 2010 r.                       w sprawie zakresu informacji przedstawianych przez podmiot ubiegający się                o pomoc de minimis (tj.: Dz. U. Nr 53, poz. 311, ze zm.).</w:t>
      </w:r>
    </w:p>
    <w:p w:rsidR="00394A8B" w:rsidRDefault="00394A8B" w:rsidP="00394A8B">
      <w:pPr>
        <w:spacing w:line="140" w:lineRule="atLeast"/>
        <w:jc w:val="both"/>
        <w:rPr>
          <w:rFonts w:ascii="Calibri" w:hAnsi="Calibri"/>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Do wniosku powinny być dołączone załączniki oryginalne lub w formie kserokopii potwierdzonych za zgodność z oryginałem. Kserokopie wszystkich załączników powinny być potwierdzone za zgodność z oryginałem w sposób czytelny przez osobę lub osoby uprawnione do złożenia wniosku i podpisania umowy oraz opatrzone pieczęcią wnioskodawcy (w przypadku braku pieczęci imiennych wymagane jest złożenie czytelnych podpisów).</w:t>
      </w:r>
    </w:p>
    <w:p w:rsidR="00394A8B" w:rsidRDefault="00394A8B" w:rsidP="00394A8B">
      <w:pPr>
        <w:spacing w:line="140" w:lineRule="atLeast"/>
        <w:ind w:left="720"/>
        <w:jc w:val="both"/>
        <w:rPr>
          <w:rFonts w:ascii="Calibri" w:hAnsi="Calibri"/>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 xml:space="preserve">Wnioski w wersji papierowej należy składać do </w:t>
      </w:r>
      <w:r>
        <w:rPr>
          <w:rFonts w:ascii="Calibri" w:hAnsi="Calibri"/>
          <w:b/>
          <w:sz w:val="26"/>
          <w:szCs w:val="26"/>
        </w:rPr>
        <w:t>31 marca 2025 roku</w:t>
      </w:r>
      <w:r>
        <w:rPr>
          <w:rFonts w:ascii="Calibri" w:hAnsi="Calibri"/>
          <w:sz w:val="26"/>
          <w:szCs w:val="26"/>
        </w:rPr>
        <w:t xml:space="preserve">                         w sekretariacie Starostwa Powiatowego w Zduńskiej Woli, ul. Złotnickiego 25, 98-220 Zduńska Wola w godz. od 7.30 do 15.30. W przypadku wniosku składanego za pośrednictwem poczty, należy na kopercie umieścić dopisek „Konkurs na udzielenie dotacji na wykonanie prac konserwatorskich, restauratorskich lub robót budowlanych przy zabytkach wpisanych do rejestru zabytków znajdujących się na obszarze powiatu zduńskowolskiego w 2025 roku”.</w:t>
      </w:r>
    </w:p>
    <w:p w:rsidR="00394A8B" w:rsidRDefault="00394A8B" w:rsidP="00394A8B">
      <w:pPr>
        <w:pStyle w:val="Akapitzlist"/>
        <w:rPr>
          <w:rFonts w:ascii="Calibri" w:hAnsi="Calibri"/>
          <w:sz w:val="26"/>
          <w:szCs w:val="26"/>
        </w:rPr>
      </w:pPr>
    </w:p>
    <w:p w:rsidR="00394A8B" w:rsidRDefault="00394A8B" w:rsidP="00394A8B">
      <w:pPr>
        <w:numPr>
          <w:ilvl w:val="0"/>
          <w:numId w:val="4"/>
        </w:numPr>
        <w:spacing w:line="140" w:lineRule="atLeast"/>
        <w:jc w:val="both"/>
        <w:rPr>
          <w:rFonts w:ascii="Calibri" w:hAnsi="Calibri"/>
          <w:sz w:val="26"/>
          <w:szCs w:val="26"/>
        </w:rPr>
      </w:pPr>
      <w:r>
        <w:rPr>
          <w:rFonts w:ascii="Calibri" w:hAnsi="Calibri"/>
          <w:sz w:val="26"/>
          <w:szCs w:val="26"/>
        </w:rPr>
        <w:t>O terminie złożenia wniosku decyduje data wpływu do sekretariatu Starostwa Powiatowego w Zduńskiej Woli (niezależnie od daty stempla pocztowego).</w:t>
      </w:r>
    </w:p>
    <w:p w:rsidR="00394A8B" w:rsidRDefault="00394A8B" w:rsidP="00394A8B">
      <w:pPr>
        <w:pStyle w:val="Akapitzlist"/>
        <w:rPr>
          <w:rFonts w:ascii="Calibri" w:hAnsi="Calibri"/>
          <w:sz w:val="26"/>
          <w:szCs w:val="26"/>
        </w:rPr>
      </w:pPr>
    </w:p>
    <w:p w:rsidR="00394A8B" w:rsidRDefault="00394A8B" w:rsidP="00394A8B">
      <w:pPr>
        <w:numPr>
          <w:ilvl w:val="0"/>
          <w:numId w:val="1"/>
        </w:numPr>
        <w:spacing w:line="140" w:lineRule="atLeast"/>
        <w:jc w:val="both"/>
        <w:rPr>
          <w:rFonts w:ascii="Calibri" w:hAnsi="Calibri"/>
          <w:b/>
          <w:sz w:val="26"/>
          <w:szCs w:val="26"/>
        </w:rPr>
      </w:pPr>
      <w:r>
        <w:rPr>
          <w:rFonts w:ascii="Calibri" w:hAnsi="Calibri"/>
          <w:b/>
          <w:sz w:val="26"/>
          <w:szCs w:val="26"/>
        </w:rPr>
        <w:t>Terminy, tryb i kryteria stosowane przy dokonywaniu wyboru wniosków:</w:t>
      </w:r>
    </w:p>
    <w:p w:rsidR="00394A8B" w:rsidRDefault="00394A8B" w:rsidP="00394A8B">
      <w:pPr>
        <w:spacing w:line="140" w:lineRule="atLeast"/>
        <w:ind w:left="1080"/>
        <w:jc w:val="both"/>
        <w:rPr>
          <w:rFonts w:ascii="Calibri" w:hAnsi="Calibri"/>
          <w:sz w:val="26"/>
          <w:szCs w:val="26"/>
        </w:rPr>
      </w:pPr>
    </w:p>
    <w:p w:rsidR="00394A8B" w:rsidRDefault="00394A8B" w:rsidP="00394A8B">
      <w:pPr>
        <w:pStyle w:val="Default"/>
        <w:numPr>
          <w:ilvl w:val="0"/>
          <w:numId w:val="7"/>
        </w:numPr>
        <w:jc w:val="both"/>
        <w:rPr>
          <w:rFonts w:ascii="Calibri" w:hAnsi="Calibri"/>
          <w:sz w:val="26"/>
          <w:szCs w:val="26"/>
        </w:rPr>
      </w:pPr>
      <w:r>
        <w:rPr>
          <w:rFonts w:ascii="Calibri" w:hAnsi="Calibri"/>
          <w:sz w:val="26"/>
          <w:szCs w:val="26"/>
        </w:rPr>
        <w:t xml:space="preserve">Złożone wnioski są weryfikowane pod względem formalnym i merytorycznym przez Komisję powołaną przez Zarząd Powiatu Zduńskowolskiego. Skład, organizację oraz tryb pracy Komisji określa </w:t>
      </w:r>
      <w:r>
        <w:rPr>
          <w:rFonts w:ascii="Calibri" w:hAnsi="Calibri"/>
          <w:bCs/>
          <w:sz w:val="26"/>
          <w:szCs w:val="26"/>
        </w:rPr>
        <w:t>załącznik</w:t>
      </w:r>
      <w:r>
        <w:rPr>
          <w:rFonts w:ascii="Calibri" w:hAnsi="Calibri"/>
          <w:b/>
          <w:bCs/>
          <w:sz w:val="26"/>
          <w:szCs w:val="26"/>
        </w:rPr>
        <w:t xml:space="preserve"> </w:t>
      </w:r>
      <w:r>
        <w:rPr>
          <w:rFonts w:ascii="Calibri" w:hAnsi="Calibri"/>
          <w:sz w:val="26"/>
          <w:szCs w:val="26"/>
        </w:rPr>
        <w:t>do uchwały nr LI/45/22 Rady Powiatu Zduńskowolskiego z dnia 30 września 2025 r.</w:t>
      </w:r>
    </w:p>
    <w:p w:rsidR="00394A8B" w:rsidRDefault="00394A8B" w:rsidP="00394A8B">
      <w:pPr>
        <w:pStyle w:val="Default"/>
        <w:ind w:left="720"/>
        <w:jc w:val="both"/>
        <w:rPr>
          <w:rFonts w:ascii="Calibri" w:hAnsi="Calibri"/>
          <w:sz w:val="26"/>
          <w:szCs w:val="26"/>
        </w:rPr>
      </w:pPr>
    </w:p>
    <w:p w:rsidR="00394A8B" w:rsidRDefault="00394A8B" w:rsidP="00394A8B">
      <w:pPr>
        <w:pStyle w:val="Default"/>
        <w:numPr>
          <w:ilvl w:val="0"/>
          <w:numId w:val="7"/>
        </w:numPr>
        <w:jc w:val="both"/>
        <w:rPr>
          <w:rFonts w:ascii="Calibri" w:hAnsi="Calibri"/>
          <w:sz w:val="26"/>
          <w:szCs w:val="26"/>
        </w:rPr>
      </w:pPr>
      <w:r>
        <w:rPr>
          <w:rFonts w:ascii="Calibri" w:hAnsi="Calibri"/>
          <w:sz w:val="26"/>
          <w:szCs w:val="26"/>
        </w:rPr>
        <w:t>Dodatkowe informacje dotyczące konkursu można uzyskać w Wydziale Promocji, Kultury i Sportu Starostwa Powiatowego w Zduńskiej Woli,                         ul. Getta Żydowskiego 4a, pod numerem telefonu (43) 672 15 50.</w:t>
      </w:r>
    </w:p>
    <w:p w:rsidR="00245E51" w:rsidRDefault="00245E51">
      <w:bookmarkStart w:id="0" w:name="_GoBack"/>
      <w:bookmarkEnd w:id="0"/>
    </w:p>
    <w:sectPr w:rsidR="00245E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charset w:val="EE"/>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20New#20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1ADC"/>
    <w:multiLevelType w:val="hybridMultilevel"/>
    <w:tmpl w:val="6570EA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7265D41"/>
    <w:multiLevelType w:val="hybridMultilevel"/>
    <w:tmpl w:val="3BBAB3FA"/>
    <w:lvl w:ilvl="0" w:tplc="05C479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BA73C63"/>
    <w:multiLevelType w:val="hybridMultilevel"/>
    <w:tmpl w:val="426CB25A"/>
    <w:lvl w:ilvl="0" w:tplc="6BCA8CF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EFC007B"/>
    <w:multiLevelType w:val="hybridMultilevel"/>
    <w:tmpl w:val="3AEE22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A7F2CDB"/>
    <w:multiLevelType w:val="hybridMultilevel"/>
    <w:tmpl w:val="50A89946"/>
    <w:lvl w:ilvl="0" w:tplc="48FE96A8">
      <w:start w:val="1"/>
      <w:numFmt w:val="decimal"/>
      <w:lvlText w:val="%1."/>
      <w:lvlJc w:val="left"/>
      <w:pPr>
        <w:ind w:left="720" w:hanging="360"/>
      </w:pPr>
      <w:rPr>
        <w:rFonts w:ascii="Calibri" w:hAnsi="Calibri" w:cs="Times New Roman" w:hint="default"/>
        <w:sz w:val="2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BB9229F"/>
    <w:multiLevelType w:val="hybridMultilevel"/>
    <w:tmpl w:val="39F84DF0"/>
    <w:lvl w:ilvl="0" w:tplc="B314BE4E">
      <w:start w:val="1"/>
      <w:numFmt w:val="decimal"/>
      <w:lvlText w:val="%1."/>
      <w:lvlJc w:val="left"/>
      <w:pPr>
        <w:ind w:left="720" w:hanging="360"/>
      </w:pPr>
      <w:rPr>
        <w:rFonts w:cs="TimesNewRomanPSM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C9A5B81"/>
    <w:multiLevelType w:val="hybridMultilevel"/>
    <w:tmpl w:val="54909F80"/>
    <w:lvl w:ilvl="0" w:tplc="8180743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49"/>
    <w:rsid w:val="00245E51"/>
    <w:rsid w:val="00394A8B"/>
    <w:rsid w:val="006E24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CD0F4-8273-4D21-9989-1577AB4CE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4A8B"/>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semiHidden/>
    <w:unhideWhenUsed/>
    <w:rsid w:val="00394A8B"/>
    <w:rPr>
      <w:color w:val="000080"/>
      <w:u w:val="single"/>
    </w:rPr>
  </w:style>
  <w:style w:type="paragraph" w:styleId="Akapitzlist">
    <w:name w:val="List Paragraph"/>
    <w:basedOn w:val="Normalny"/>
    <w:uiPriority w:val="34"/>
    <w:qFormat/>
    <w:rsid w:val="00394A8B"/>
    <w:pPr>
      <w:ind w:left="708"/>
    </w:pPr>
  </w:style>
  <w:style w:type="paragraph" w:customStyle="1" w:styleId="Default">
    <w:name w:val="Default"/>
    <w:rsid w:val="00394A8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85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p.powiatzdunskowol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p.powiatzdunskowolski.pl" TargetMode="External"/><Relationship Id="rId5" Type="http://schemas.openxmlformats.org/officeDocument/2006/relationships/hyperlink" Target="http://www.powiatzdunskowolski.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7218</Characters>
  <Application>Microsoft Office Word</Application>
  <DocSecurity>0</DocSecurity>
  <Lines>60</Lines>
  <Paragraphs>16</Paragraphs>
  <ScaleCrop>false</ScaleCrop>
  <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a.stoczkowska</dc:creator>
  <cp:keywords/>
  <dc:description/>
  <cp:lastModifiedBy>a.stoczkowska</cp:lastModifiedBy>
  <cp:revision>2</cp:revision>
  <dcterms:created xsi:type="dcterms:W3CDTF">2025-02-26T07:47:00Z</dcterms:created>
  <dcterms:modified xsi:type="dcterms:W3CDTF">2025-02-26T07:47:00Z</dcterms:modified>
</cp:coreProperties>
</file>